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rFonts w:hint="default" w:eastAsia="宋体"/>
          <w:b/>
          <w:i/>
          <w:sz w:val="28"/>
          <w:lang w:val="en-US" w:eastAsia="zh-CN"/>
        </w:rPr>
      </w:pPr>
      <w:bookmarkStart w:id="0" w:name="_Toc5283426"/>
      <w:r>
        <w:rPr>
          <w:b/>
          <w:sz w:val="24"/>
        </w:rPr>
        <w:t>3GPP TSG-</w:t>
      </w:r>
      <w:r>
        <w:fldChar w:fldCharType="begin"/>
      </w:r>
      <w:r>
        <w:instrText xml:space="preserve"> DOCPROPERTY  TSG/WGRef  \* MERGEFORMAT </w:instrText>
      </w:r>
      <w:r>
        <w:fldChar w:fldCharType="separate"/>
      </w:r>
      <w:r>
        <w:rPr>
          <w:b/>
          <w:sz w:val="24"/>
          <w:lang w:eastAsia="zh-CN"/>
        </w:rPr>
        <w:t>RAN</w:t>
      </w:r>
      <w:r>
        <w:rPr>
          <w:b/>
          <w:sz w:val="24"/>
          <w:lang w:eastAsia="zh-CN"/>
        </w:rPr>
        <w:fldChar w:fldCharType="end"/>
      </w:r>
      <w:r>
        <w:rPr>
          <w:b/>
          <w:sz w:val="24"/>
        </w:rPr>
        <w:t xml:space="preserve"> WG4 Meeting #</w:t>
      </w:r>
      <w:r>
        <w:fldChar w:fldCharType="begin"/>
      </w:r>
      <w:r>
        <w:instrText xml:space="preserve"> DOCPROPERTY  MtgSeq  \* MERGEFORMAT </w:instrText>
      </w:r>
      <w:r>
        <w:fldChar w:fldCharType="separate"/>
      </w:r>
      <w:r>
        <w:rPr>
          <w:b/>
          <w:sz w:val="24"/>
        </w:rPr>
        <w:t xml:space="preserve"> 91</w:t>
      </w:r>
      <w:r>
        <w:rPr>
          <w:b/>
          <w:sz w:val="24"/>
        </w:rPr>
        <w:fldChar w:fldCharType="end"/>
      </w:r>
      <w:r>
        <w:rPr>
          <w:b/>
          <w:i/>
          <w:sz w:val="28"/>
        </w:rPr>
        <w:tab/>
      </w:r>
      <w:r>
        <w:fldChar w:fldCharType="begin"/>
      </w:r>
      <w:r>
        <w:instrText xml:space="preserve"> DOCPROPERTY  Tdoc#  \* MERGEFORMAT </w:instrText>
      </w:r>
      <w:r>
        <w:fldChar w:fldCharType="separate"/>
      </w:r>
      <w:r>
        <w:rPr>
          <w:b/>
          <w:i/>
          <w:sz w:val="28"/>
        </w:rPr>
        <w:t>R4-190</w:t>
      </w:r>
      <w:r>
        <w:rPr>
          <w:b/>
          <w:i/>
          <w:sz w:val="28"/>
        </w:rPr>
        <w:fldChar w:fldCharType="end"/>
      </w:r>
      <w:r>
        <w:rPr>
          <w:rFonts w:hint="eastAsia" w:eastAsia="宋体"/>
          <w:b/>
          <w:i/>
          <w:sz w:val="28"/>
          <w:lang w:val="en-US" w:eastAsia="zh-CN"/>
        </w:rPr>
        <w:t>7623</w:t>
      </w:r>
      <w:bookmarkStart w:id="15" w:name="_GoBack"/>
      <w:bookmarkEnd w:id="15"/>
    </w:p>
    <w:p>
      <w:pPr>
        <w:pStyle w:val="244"/>
        <w:outlineLvl w:val="0"/>
        <w:rPr>
          <w:b/>
          <w:sz w:val="24"/>
        </w:rPr>
      </w:pPr>
      <w:r>
        <w:fldChar w:fldCharType="begin"/>
      </w:r>
      <w:r>
        <w:instrText xml:space="preserve"> DOCPROPERTY  Location  \* MERGEFORMAT </w:instrText>
      </w:r>
      <w:r>
        <w:fldChar w:fldCharType="separate"/>
      </w:r>
      <w:r>
        <w:rPr>
          <w:b/>
          <w:sz w:val="24"/>
        </w:rPr>
        <w:t xml:space="preserve"> Reno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rFonts w:hint="eastAsia" w:eastAsia="宋体"/>
          <w:b/>
          <w:sz w:val="24"/>
          <w:lang w:val="en-US" w:eastAsia="zh-CN"/>
        </w:rPr>
        <w:t>A</w:t>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vertAlign w:val="superscript"/>
        </w:rPr>
        <w:t>th</w:t>
      </w:r>
      <w:r>
        <w:rPr>
          <w:b/>
          <w:sz w:val="24"/>
        </w:rPr>
        <w:fldChar w:fldCharType="end"/>
      </w:r>
      <w:r>
        <w:rPr>
          <w:rFonts w:hint="eastAsia" w:eastAsia="宋体"/>
          <w:b/>
          <w:sz w:val="24"/>
          <w:lang w:val="en-US" w:eastAsia="zh-CN"/>
        </w:rPr>
        <w:t xml:space="preserve"> May</w:t>
      </w:r>
      <w:r>
        <w:rPr>
          <w:b/>
          <w:sz w:val="24"/>
        </w:rPr>
        <w:t xml:space="preserve"> – </w:t>
      </w:r>
      <w:r>
        <w:fldChar w:fldCharType="begin"/>
      </w:r>
      <w:r>
        <w:instrText xml:space="preserve"> DOCPROPERTY  EndDate  \* MERGEFORMAT </w:instrText>
      </w:r>
      <w:r>
        <w:fldChar w:fldCharType="separate"/>
      </w:r>
      <w:r>
        <w:rPr>
          <w:b/>
          <w:sz w:val="24"/>
        </w:rPr>
        <w:t>17</w:t>
      </w:r>
      <w:r>
        <w:rPr>
          <w:b/>
          <w:sz w:val="24"/>
          <w:vertAlign w:val="superscript"/>
        </w:rPr>
        <w:t>th</w:t>
      </w:r>
      <w:r>
        <w:rPr>
          <w:b/>
          <w:sz w:val="24"/>
        </w:rPr>
        <w:t xml:space="preserve"> May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.1</w:t>
            </w:r>
            <w:r>
              <w:rPr>
                <w:rFonts w:hint="eastAsia" w:eastAsia="宋体"/>
                <w:b/>
                <w:sz w:val="28"/>
                <w:lang w:val="en-US" w:eastAsia="zh-CN"/>
              </w:rPr>
              <w:t>41</w:t>
            </w:r>
            <w:r>
              <w:rPr>
                <w:b/>
                <w:sz w:val="28"/>
              </w:rPr>
              <w:t>-</w:t>
            </w:r>
            <w:r>
              <w:rPr>
                <w:rFonts w:hint="eastAsia" w:eastAsia="宋体"/>
                <w:b/>
                <w:sz w:val="28"/>
                <w:lang w:val="en-US" w:eastAsia="zh-CN"/>
              </w:rPr>
              <w:t>0</w:t>
            </w:r>
            <w:r>
              <w:rPr>
                <w:b/>
                <w:sz w:val="28"/>
              </w:rPr>
              <w:fldChar w:fldCharType="end"/>
            </w:r>
            <w:r>
              <w:rPr>
                <w:rFonts w:hint="eastAsia" w:eastAsia="宋体"/>
                <w:b/>
                <w:sz w:val="28"/>
                <w:lang w:val="en-US" w:eastAsia="zh-CN"/>
              </w:rPr>
              <w:t>2</w:t>
            </w:r>
          </w:p>
        </w:tc>
        <w:tc>
          <w:tcPr>
            <w:tcW w:w="709" w:type="dxa"/>
          </w:tcPr>
          <w:p>
            <w:pPr>
              <w:pStyle w:val="244"/>
              <w:spacing w:after="0"/>
              <w:jc w:val="center"/>
            </w:pPr>
            <w:r>
              <w:rPr>
                <w:b/>
                <w:sz w:val="28"/>
              </w:rPr>
              <w:t>CR</w:t>
            </w:r>
          </w:p>
        </w:tc>
        <w:tc>
          <w:tcPr>
            <w:tcW w:w="1276" w:type="dxa"/>
            <w:shd w:val="pct30" w:color="FFFF00" w:fill="auto"/>
          </w:tcPr>
          <w:p>
            <w:pPr>
              <w:pStyle w:val="244"/>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rFonts w:hint="eastAsia" w:eastAsia="宋体"/>
                <w:b/>
                <w:lang w:eastAsia="zh-CN"/>
              </w:rPr>
            </w:pPr>
            <w:r>
              <w:rPr>
                <w:rFonts w:hint="eastAsia" w:eastAsia="宋体"/>
                <w:b/>
                <w:sz w:val="28"/>
                <w:lang w:val="en-US" w:eastAsia="zh-CN"/>
              </w:rPr>
              <w:t>1</w:t>
            </w: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rPr>
            </w:pPr>
            <w:r>
              <w:fldChar w:fldCharType="begin"/>
            </w:r>
            <w:r>
              <w:instrText xml:space="preserve"> DOCPROPERTY  Version  \* MERGEFORMAT </w:instrText>
            </w:r>
            <w:r>
              <w:fldChar w:fldCharType="separate"/>
            </w:r>
            <w:r>
              <w:rPr>
                <w:b/>
                <w:sz w:val="28"/>
              </w:rPr>
              <w:t>15.</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1" w:name="_Hlt497126619"/>
            <w:r>
              <w:rPr>
                <w:rStyle w:val="59"/>
                <w:rFonts w:cs="Arial"/>
                <w:b/>
                <w:i/>
                <w:color w:val="FF0000"/>
              </w:rPr>
              <w:t>L</w:t>
            </w:r>
            <w:bookmarkEnd w:id="1"/>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9" w:type="dxa"/>
            <w:tcBorders>
              <w:left w:val="single" w:color="auto" w:sz="4" w:space="0"/>
            </w:tcBorders>
          </w:tcPr>
          <w:p>
            <w:pPr>
              <w:pStyle w:val="24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r>
              <w:rPr>
                <w:rFonts w:hint="eastAsia"/>
                <w:b/>
                <w:caps/>
                <w:lang w:eastAsia="zh-CN"/>
              </w:rPr>
              <w:t>x</w:t>
            </w: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b/>
                <w:caps/>
              </w:rPr>
            </w:pP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hint="default"/>
                <w:lang w:val="en-US"/>
              </w:rPr>
            </w:pPr>
            <w:r>
              <w:rPr>
                <w:rFonts w:hint="eastAsia" w:eastAsia="宋体"/>
                <w:lang w:val="en-US" w:eastAsia="zh-CN"/>
              </w:rPr>
              <w:t>Draft CR to TS 38.141-02:  Test model (section 4.9.2)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rFonts w:hint="eastAsia" w:eastAsia="宋体"/>
                <w:b/>
                <w:i/>
                <w:sz w:val="8"/>
                <w:szCs w:val="8"/>
                <w:lang w:val="en-US" w:eastAsia="zh-CN"/>
              </w:rPr>
            </w:pPr>
            <w:r>
              <w:rPr>
                <w:rFonts w:hint="eastAsia" w:eastAsia="宋体"/>
                <w:b/>
                <w:i/>
                <w:sz w:val="8"/>
                <w:szCs w:val="8"/>
                <w:lang w:val="en-US" w:eastAsia="zh-CN"/>
              </w:rPr>
              <w:t>O</w:t>
            </w: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pPr>
            <w:r>
              <w:fldChar w:fldCharType="begin"/>
            </w:r>
            <w:r>
              <w:instrText xml:space="preserve"> DOCPROPERTY  SourceIfWg  \* MERGEFORMAT </w:instrText>
            </w:r>
            <w:r>
              <w:fldChar w:fldCharType="separate"/>
            </w:r>
            <w:r>
              <w:t>ZTE Corporation</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pPr>
            <w:r>
              <w:fldChar w:fldCharType="begin"/>
            </w:r>
            <w:r>
              <w:instrText xml:space="preserve"> DOCPROPERTY  SourceIfTsg  \* MERGEFORMAT </w:instrText>
            </w:r>
            <w:r>
              <w:fldChar w:fldCharType="separate"/>
            </w:r>
            <w:r>
              <w:t>R4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pPr>
            <w:r>
              <w:fldChar w:fldCharType="begin"/>
            </w:r>
            <w:r>
              <w:instrText xml:space="preserve"> DOCPROPERTY  ResDate  \* MERGEFORMAT </w:instrText>
            </w:r>
            <w:r>
              <w:fldChar w:fldCharType="separate"/>
            </w:r>
            <w:r>
              <w:t>2019-05-03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numPr>
                <w:ilvl w:val="0"/>
                <w:numId w:val="0"/>
              </w:numPr>
              <w:spacing w:after="0"/>
              <w:rPr>
                <w:lang w:eastAsia="zh-CN"/>
              </w:rPr>
            </w:pPr>
            <w:r>
              <w:rPr>
                <w:rFonts w:hint="eastAsia"/>
                <w:lang w:val="en-US" w:eastAsia="zh-CN"/>
              </w:rPr>
              <w:t xml:space="preserve">TAE test model is not considered yet.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numPr>
                <w:ilvl w:val="0"/>
                <w:numId w:val="0"/>
              </w:numPr>
              <w:spacing w:after="0"/>
            </w:pPr>
            <w:r>
              <w:rPr>
                <w:rFonts w:hint="eastAsia" w:eastAsia="宋体"/>
                <w:lang w:val="en-US" w:eastAsia="zh-CN"/>
              </w:rPr>
              <w:t>Add the DMRS ports descriptions in the section 6.6.4.4.2 to distinguish signals from different ports.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numPr>
                <w:ilvl w:val="0"/>
                <w:numId w:val="0"/>
              </w:numPr>
              <w:spacing w:after="0"/>
              <w:rPr>
                <w:rFonts w:hint="default"/>
                <w:lang w:val="en-US"/>
              </w:rPr>
            </w:pPr>
            <w:r>
              <w:rPr>
                <w:rFonts w:hint="eastAsia" w:eastAsia="宋体"/>
                <w:lang w:val="en-US" w:eastAsia="zh-CN"/>
              </w:rPr>
              <w:t>There will be no test model designed for TAE requirement.</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hint="default"/>
                <w:lang w:val="en-US" w:eastAsia="zh-CN"/>
              </w:rPr>
            </w:pPr>
            <w:r>
              <w:rPr>
                <w:rFonts w:hint="eastAsia"/>
                <w:lang w:val="en-US" w:eastAsia="zh-CN"/>
              </w:rPr>
              <w:t>6.6.4.4.2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bl>
    <w:p>
      <w:pPr>
        <w:pStyle w:val="244"/>
        <w:spacing w:after="0"/>
        <w:rPr>
          <w:sz w:val="8"/>
          <w:szCs w:val="8"/>
        </w:rPr>
      </w:pPr>
    </w:p>
    <w:p/>
    <w:p>
      <w:r>
        <w:rPr>
          <w:color w:val="00B0F0"/>
        </w:rPr>
        <w:t>******************************* BEGIN CHANGE 1 ********************************</w:t>
      </w:r>
      <w:bookmarkEnd w:id="0"/>
      <w:bookmarkStart w:id="3" w:name="historyclause"/>
    </w:p>
    <w:p>
      <w:pPr>
        <w:pStyle w:val="4"/>
      </w:pPr>
      <w:bookmarkStart w:id="4" w:name="_Toc5283528"/>
      <w:r>
        <w:t>6.6.4</w:t>
      </w:r>
      <w:r>
        <w:tab/>
      </w:r>
      <w:r>
        <w:t>OTA time alignment error</w:t>
      </w:r>
      <w:bookmarkEnd w:id="4"/>
    </w:p>
    <w:p>
      <w:pPr>
        <w:pStyle w:val="5"/>
      </w:pPr>
      <w:bookmarkStart w:id="5" w:name="_Toc5283529"/>
      <w:r>
        <w:t>6.6.4.1</w:t>
      </w:r>
      <w:r>
        <w:tab/>
      </w:r>
      <w:r>
        <w:t>Definition and applicability</w:t>
      </w:r>
      <w:bookmarkEnd w:id="5"/>
    </w:p>
    <w:p>
      <w:r>
        <w:t xml:space="preserve">This requirement shall apply to frame timing in </w:t>
      </w:r>
      <w:del w:id="0" w:author="R4-1905125" w:date="2019-04-17T22:11:00Z">
        <w:r>
          <w:rPr/>
          <w:delText xml:space="preserve">TX diversity, </w:delText>
        </w:r>
      </w:del>
      <w:r>
        <w:t>MIMO transmission, carrier aggregation and their combinations.</w:t>
      </w:r>
    </w:p>
    <w:p>
      <w:r>
        <w:t>Frames of the NR signals present in the radiated domain are not perfectly aligned in time. In relation to each other, the RF signals present in the radiated domain may experience certain timing differences.</w:t>
      </w:r>
    </w:p>
    <w:p>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pStyle w:val="5"/>
      </w:pPr>
      <w:bookmarkStart w:id="6" w:name="_Toc5283530"/>
      <w:r>
        <w:t>6.6.4.2</w:t>
      </w:r>
      <w:r>
        <w:tab/>
      </w:r>
      <w:r>
        <w:t>Minimum requirement</w:t>
      </w:r>
      <w:bookmarkEnd w:id="6"/>
    </w:p>
    <w:p>
      <w:r>
        <w:t xml:space="preserve">The minimum requirement </w:t>
      </w:r>
      <w:r>
        <w:rPr>
          <w:rFonts w:hint="eastAsia"/>
          <w:lang w:eastAsia="ja-JP"/>
        </w:rPr>
        <w:t xml:space="preserve">for </w:t>
      </w:r>
      <w:r>
        <w:rPr>
          <w:rFonts w:hint="eastAsia"/>
          <w:i/>
          <w:lang w:eastAsia="ja-JP"/>
        </w:rPr>
        <w:t>BS type 1-O</w:t>
      </w:r>
      <w:r>
        <w:t xml:space="preserve"> is in TS 38.104 [2], subclause 9.6.3.2.</w:t>
      </w:r>
    </w:p>
    <w:p>
      <w:r>
        <w:t xml:space="preserve">The minimum requirement </w:t>
      </w:r>
      <w:r>
        <w:rPr>
          <w:rFonts w:hint="eastAsia"/>
          <w:lang w:eastAsia="ja-JP"/>
        </w:rPr>
        <w:t xml:space="preserve">for </w:t>
      </w:r>
      <w:r>
        <w:rPr>
          <w:rFonts w:hint="eastAsia"/>
          <w:i/>
          <w:lang w:eastAsia="ja-JP"/>
        </w:rPr>
        <w:t>BS type 2-O</w:t>
      </w:r>
      <w:r>
        <w:t xml:space="preserve"> is in TS 38.104 [2], subclause 9.6.3.3.</w:t>
      </w:r>
    </w:p>
    <w:p>
      <w:pPr>
        <w:pStyle w:val="5"/>
      </w:pPr>
      <w:bookmarkStart w:id="7" w:name="_Toc5283531"/>
      <w:r>
        <w:t>6.6.4.3</w:t>
      </w:r>
      <w:r>
        <w:tab/>
      </w:r>
      <w:r>
        <w:t>Test purpose</w:t>
      </w:r>
      <w:bookmarkEnd w:id="7"/>
    </w:p>
    <w:p>
      <w:r>
        <w:t>To verify that the OTA time alignment error is within the limit specified by the minimum requirement.</w:t>
      </w:r>
    </w:p>
    <w:p>
      <w:pPr>
        <w:pStyle w:val="5"/>
        <w:rPr>
          <w:lang w:eastAsia="sv-SE"/>
        </w:rPr>
      </w:pPr>
      <w:bookmarkStart w:id="8" w:name="_Toc5283532"/>
      <w:r>
        <w:rPr>
          <w:lang w:eastAsia="sv-SE"/>
        </w:rPr>
        <w:t>6.</w:t>
      </w:r>
      <w:r>
        <w:rPr>
          <w:lang w:eastAsia="zh-CN"/>
        </w:rPr>
        <w:t>6.4.</w:t>
      </w:r>
      <w:r>
        <w:rPr>
          <w:lang w:eastAsia="sv-SE"/>
        </w:rPr>
        <w:t>4</w:t>
      </w:r>
      <w:r>
        <w:rPr>
          <w:lang w:eastAsia="sv-SE"/>
        </w:rPr>
        <w:tab/>
      </w:r>
      <w:r>
        <w:rPr>
          <w:lang w:eastAsia="sv-SE"/>
        </w:rPr>
        <w:t>Method of test</w:t>
      </w:r>
      <w:bookmarkEnd w:id="8"/>
    </w:p>
    <w:p>
      <w:pPr>
        <w:pStyle w:val="6"/>
        <w:rPr>
          <w:lang w:eastAsia="sv-SE"/>
        </w:rPr>
      </w:pPr>
      <w:bookmarkStart w:id="9" w:name="_Toc5283533"/>
      <w:r>
        <w:rPr>
          <w:lang w:eastAsia="sv-SE"/>
        </w:rPr>
        <w:t>6.6.4.4.1</w:t>
      </w:r>
      <w:r>
        <w:rPr>
          <w:lang w:eastAsia="sv-SE"/>
        </w:rPr>
        <w:tab/>
      </w:r>
      <w:r>
        <w:rPr>
          <w:lang w:eastAsia="sv-SE"/>
        </w:rPr>
        <w:t>Initial conditions</w:t>
      </w:r>
      <w:bookmarkEnd w:id="9"/>
    </w:p>
    <w:p>
      <w:r>
        <w:t>Test environment: Normal; see annex B.2.</w:t>
      </w:r>
    </w:p>
    <w:p>
      <w:r>
        <w:t>RF channels to be tested for single carrier: M; see subclause 4.9.1.</w:t>
      </w:r>
    </w:p>
    <w:p>
      <w:pPr>
        <w:rPr>
          <w:rFonts w:cs="v4.2.0"/>
        </w:rPr>
      </w:pPr>
      <w:r>
        <w:rPr>
          <w:i/>
        </w:rPr>
        <w:t>Base Station RF Bandwidth</w:t>
      </w:r>
      <w:r>
        <w:t xml:space="preserve"> positions </w:t>
      </w:r>
      <w:r>
        <w:rPr>
          <w:rFonts w:cs="v4.2.0"/>
        </w:rPr>
        <w:t>to be tested for multi-carrier and/or CA:</w:t>
      </w:r>
    </w:p>
    <w:p>
      <w:pPr>
        <w:pStyle w:val="80"/>
        <w:rPr>
          <w:rFonts w:cs="v4.2.0"/>
        </w:rPr>
      </w:pPr>
      <w:r>
        <w:rPr>
          <w:rFonts w:cs="v4.2.0"/>
        </w:rPr>
        <w:t>-</w:t>
      </w:r>
      <w:r>
        <w:rPr>
          <w:rFonts w:cs="v4.2.0"/>
        </w:rPr>
        <w:tab/>
      </w:r>
      <w:r>
        <w:t>M</w:t>
      </w:r>
      <w:r>
        <w:rPr>
          <w:vertAlign w:val="subscript"/>
        </w:rPr>
        <w:t>RFBW</w:t>
      </w:r>
      <w:r>
        <w:t xml:space="preserve"> in single-band operation,</w:t>
      </w:r>
      <w:r>
        <w:rPr>
          <w:rFonts w:cs="v4.2.0"/>
        </w:rPr>
        <w:t xml:space="preserve"> see subclause 4.9.1;</w:t>
      </w:r>
    </w:p>
    <w:p>
      <w:pPr>
        <w:pStyle w:val="80"/>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r>
        <w:t>Directions to be tested: OTA coverage range reference direction (D.35).</w:t>
      </w:r>
    </w:p>
    <w:p>
      <w:pPr>
        <w:rPr>
          <w:rFonts w:cs="v4.2.0"/>
        </w:rPr>
      </w:pPr>
      <w:r>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pPr>
        <w:pStyle w:val="6"/>
        <w:rPr>
          <w:lang w:eastAsia="sv-SE"/>
        </w:rPr>
      </w:pPr>
      <w:bookmarkStart w:id="10" w:name="_Toc5283534"/>
      <w:r>
        <w:rPr>
          <w:lang w:eastAsia="sv-SE"/>
        </w:rPr>
        <w:t>6.6.4.4.2</w:t>
      </w:r>
      <w:r>
        <w:rPr>
          <w:lang w:eastAsia="sv-SE"/>
        </w:rPr>
        <w:tab/>
      </w:r>
      <w:r>
        <w:rPr>
          <w:lang w:eastAsia="sv-SE"/>
        </w:rPr>
        <w:t>Procedure</w:t>
      </w:r>
      <w:bookmarkEnd w:id="10"/>
    </w:p>
    <w:p>
      <w:pPr>
        <w:pStyle w:val="80"/>
      </w:pPr>
      <w:r>
        <w:t>1)</w:t>
      </w:r>
      <w:r>
        <w:tab/>
      </w:r>
      <w:r>
        <w:t xml:space="preserve">Place the </w:t>
      </w:r>
      <w:del w:id="1" w:author="R4-1903326" w:date="2019-04-17T12:20:00Z">
        <w:r>
          <w:rPr/>
          <w:delText xml:space="preserve"> </w:delText>
        </w:r>
      </w:del>
      <w:r>
        <w:t>BS at the positioner.</w:t>
      </w:r>
    </w:p>
    <w:p>
      <w:pPr>
        <w:pStyle w:val="80"/>
      </w:pPr>
      <w:r>
        <w:t>2)</w:t>
      </w:r>
      <w:r>
        <w:tab/>
      </w:r>
      <w:r>
        <w:t xml:space="preserve">Align the manufacturer declared coordinate system orientation (D.2) of the </w:t>
      </w:r>
      <w:del w:id="2" w:author="R4-1903326" w:date="2019-04-17T12:20:00Z">
        <w:r>
          <w:rPr/>
          <w:delText xml:space="preserve"> </w:delText>
        </w:r>
      </w:del>
      <w:r>
        <w:t>BS with the test system.</w:t>
      </w:r>
    </w:p>
    <w:p>
      <w:pPr>
        <w:pStyle w:val="80"/>
      </w:pPr>
      <w:r>
        <w:t>3)</w:t>
      </w:r>
      <w:r>
        <w:tab/>
      </w:r>
      <w:r>
        <w:t>Move the</w:t>
      </w:r>
      <w:del w:id="3" w:author="R4-1903326" w:date="2019-04-17T12:20:00Z">
        <w:r>
          <w:rPr/>
          <w:delText xml:space="preserve"> </w:delText>
        </w:r>
      </w:del>
      <w:r>
        <w:t xml:space="preserve"> BS on the positioner in order that the direction to be tested aligns with the test antenna.</w:t>
      </w:r>
    </w:p>
    <w:p>
      <w:pPr>
        <w:pStyle w:val="80"/>
      </w:pPr>
      <w:r>
        <w:t>4)</w:t>
      </w:r>
      <w:r>
        <w:tab/>
      </w:r>
      <w:r>
        <w:t xml:space="preserve">Configure the beamforming settings of the </w:t>
      </w:r>
      <w:del w:id="4" w:author="R4-1903326" w:date="2019-04-17T12:20:00Z">
        <w:r>
          <w:rPr/>
          <w:delText xml:space="preserve"> </w:delText>
        </w:r>
      </w:del>
      <w:r>
        <w:t>BS according to the direction of the testing.</w:t>
      </w:r>
    </w:p>
    <w:p>
      <w:pPr>
        <w:pStyle w:val="80"/>
      </w:pPr>
      <w:r>
        <w:t>5)</w:t>
      </w:r>
      <w:r>
        <w:tab/>
      </w:r>
      <w:r>
        <w:t xml:space="preserve">Set the </w:t>
      </w:r>
      <w:r>
        <w:rPr>
          <w:rFonts w:hint="eastAsia"/>
          <w:i/>
          <w:iCs/>
          <w:lang w:val="en-US" w:eastAsia="zh-CN"/>
        </w:rPr>
        <w:t>BS type 1-O</w:t>
      </w:r>
      <w:ins w:id="5" w:author="R4-1903326" w:date="2019-04-17T12:20:00Z">
        <w:r>
          <w:rPr>
            <w:i/>
            <w:iCs/>
            <w:lang w:val="en-US" w:eastAsia="zh-CN"/>
          </w:rPr>
          <w:t xml:space="preserve"> </w:t>
        </w:r>
      </w:ins>
      <w:r>
        <w:t>to transmit NR-</w:t>
      </w:r>
      <w:r>
        <w:rPr>
          <w:rFonts w:hint="eastAsia"/>
          <w:lang w:val="en-US" w:eastAsia="zh-CN"/>
        </w:rPr>
        <w:t>FR1-</w:t>
      </w:r>
      <w:r>
        <w:t xml:space="preserve">TM1.1 or any DL signal using </w:t>
      </w:r>
      <w:del w:id="6" w:author="R4-1905125" w:date="2019-04-17T22:11:00Z">
        <w:r>
          <w:rPr/>
          <w:delText xml:space="preserve">TX diversity, </w:delText>
        </w:r>
      </w:del>
      <w:r>
        <w:t>MIMO transmission or carrier aggregation, using the configuration with the minimum number of cells and reference signals.</w:t>
      </w:r>
    </w:p>
    <w:p>
      <w:pPr>
        <w:pStyle w:val="80"/>
        <w:ind w:firstLine="0"/>
      </w:pPr>
      <w:r>
        <w:t xml:space="preserve">Set the </w:t>
      </w:r>
      <w:r>
        <w:rPr>
          <w:rFonts w:hint="eastAsia"/>
          <w:i/>
          <w:iCs/>
          <w:lang w:val="en-US" w:eastAsia="zh-CN"/>
        </w:rPr>
        <w:t>BS type 2-O</w:t>
      </w:r>
      <w:r>
        <w:t xml:space="preserve"> to transmit NR-</w:t>
      </w:r>
      <w:r>
        <w:rPr>
          <w:rFonts w:hint="eastAsia"/>
          <w:lang w:val="en-US" w:eastAsia="zh-CN"/>
        </w:rPr>
        <w:t>FR2-</w:t>
      </w:r>
      <w:r>
        <w:t>TM</w:t>
      </w:r>
      <w:r>
        <w:rPr>
          <w:rFonts w:hint="eastAsia"/>
          <w:lang w:val="en-US" w:eastAsia="zh-CN"/>
        </w:rPr>
        <w:t xml:space="preserve"> </w:t>
      </w:r>
      <w:r>
        <w:t xml:space="preserve">1.1 or any DL signal using </w:t>
      </w:r>
      <w:del w:id="7" w:author="R4-1905125" w:date="2019-04-17T22:11:00Z">
        <w:r>
          <w:rPr/>
          <w:delText xml:space="preserve">TX diversity, </w:delText>
        </w:r>
      </w:del>
      <w:r>
        <w:t>MIMO transmission or carrier aggregation, using the configuration with the minimum number of cells and reference signals.</w:t>
      </w:r>
    </w:p>
    <w:p>
      <w:pPr>
        <w:pStyle w:val="69"/>
        <w:keepNext/>
      </w:pPr>
      <w:r>
        <w:t>NOTE:</w:t>
      </w:r>
      <w:r>
        <w:tab/>
      </w:r>
      <w:r>
        <w:t xml:space="preserve">For </w:t>
      </w:r>
      <w:del w:id="8" w:author="R4-1905125" w:date="2019-04-17T22:11:00Z">
        <w:r>
          <w:rPr/>
          <w:delText xml:space="preserve">TX diversity and </w:delText>
        </w:r>
      </w:del>
      <w:r>
        <w:t>MIMO transmission, different ports may be configured in NR-</w:t>
      </w:r>
      <w:r>
        <w:rPr>
          <w:rFonts w:hint="eastAsia"/>
          <w:lang w:val="en-US" w:eastAsia="zh-CN"/>
        </w:rPr>
        <w:t>FR1-</w:t>
      </w:r>
      <w:r>
        <w:t>TM</w:t>
      </w:r>
      <w:r>
        <w:rPr>
          <w:rFonts w:hint="eastAsia"/>
          <w:lang w:val="en-US" w:eastAsia="zh-CN"/>
        </w:rPr>
        <w:t>1.1 and NR-FR2-TM 1.1</w:t>
      </w:r>
      <w:r>
        <w:t xml:space="preserve"> (</w:t>
      </w:r>
      <w:r>
        <w:rPr>
          <w:highlight w:val="yellow"/>
          <w:rPrChange w:id="9" w:author="xuefei6" w:date="2019-05-16T14:35:05Z">
            <w:rPr/>
          </w:rPrChange>
        </w:rPr>
        <w:t xml:space="preserve">using </w:t>
      </w:r>
      <w:ins w:id="10" w:author="xuefei6" w:date="2019-05-16T14:34:29Z">
        <w:r>
          <w:rPr>
            <w:rFonts w:hint="eastAsia" w:eastAsia="宋体"/>
            <w:highlight w:val="yellow"/>
            <w:lang w:val="en-US" w:eastAsia="zh-CN"/>
            <w:rPrChange w:id="11" w:author="xuefei6" w:date="2019-05-16T14:35:05Z">
              <w:rPr>
                <w:rFonts w:hint="eastAsia" w:eastAsia="宋体"/>
                <w:lang w:val="en-US" w:eastAsia="zh-CN"/>
              </w:rPr>
            </w:rPrChange>
          </w:rPr>
          <w:t>D</w:t>
        </w:r>
      </w:ins>
      <w:ins w:id="12" w:author="xuefei6" w:date="2019-05-16T14:34:34Z">
        <w:r>
          <w:rPr>
            <w:rFonts w:hint="eastAsia" w:eastAsia="宋体"/>
            <w:highlight w:val="yellow"/>
            <w:lang w:val="en-US" w:eastAsia="zh-CN"/>
            <w:rPrChange w:id="13" w:author="xuefei6" w:date="2019-05-16T14:35:05Z">
              <w:rPr>
                <w:rFonts w:hint="eastAsia" w:eastAsia="宋体"/>
                <w:lang w:val="en-US" w:eastAsia="zh-CN"/>
              </w:rPr>
            </w:rPrChange>
          </w:rPr>
          <w:t>MRS</w:t>
        </w:r>
      </w:ins>
      <w:ins w:id="14" w:author="xuefei6" w:date="2019-05-16T14:34:35Z">
        <w:r>
          <w:rPr>
            <w:rFonts w:hint="eastAsia" w:eastAsia="宋体"/>
            <w:highlight w:val="yellow"/>
            <w:lang w:val="en-US" w:eastAsia="zh-CN"/>
            <w:rPrChange w:id="15" w:author="xuefei6" w:date="2019-05-16T14:35:05Z">
              <w:rPr>
                <w:rFonts w:hint="eastAsia" w:eastAsia="宋体"/>
                <w:lang w:val="en-US" w:eastAsia="zh-CN"/>
              </w:rPr>
            </w:rPrChange>
          </w:rPr>
          <w:t xml:space="preserve"> po</w:t>
        </w:r>
      </w:ins>
      <w:ins w:id="16" w:author="xuefei6" w:date="2019-05-16T14:34:36Z">
        <w:r>
          <w:rPr>
            <w:rFonts w:hint="eastAsia" w:eastAsia="宋体"/>
            <w:highlight w:val="yellow"/>
            <w:lang w:val="en-US" w:eastAsia="zh-CN"/>
            <w:rPrChange w:id="17" w:author="xuefei6" w:date="2019-05-16T14:35:05Z">
              <w:rPr>
                <w:rFonts w:hint="eastAsia" w:eastAsia="宋体"/>
                <w:lang w:val="en-US" w:eastAsia="zh-CN"/>
              </w:rPr>
            </w:rPrChange>
          </w:rPr>
          <w:t>rts</w:t>
        </w:r>
      </w:ins>
      <w:ins w:id="18" w:author="xuefei6" w:date="2019-05-16T14:34:37Z">
        <w:r>
          <w:rPr>
            <w:rFonts w:hint="eastAsia" w:eastAsia="宋体"/>
            <w:highlight w:val="yellow"/>
            <w:lang w:val="en-US" w:eastAsia="zh-CN"/>
            <w:rPrChange w:id="19" w:author="xuefei6" w:date="2019-05-16T14:35:05Z">
              <w:rPr>
                <w:rFonts w:hint="eastAsia" w:eastAsia="宋体"/>
                <w:lang w:val="en-US" w:eastAsia="zh-CN"/>
              </w:rPr>
            </w:rPrChange>
          </w:rPr>
          <w:t xml:space="preserve"> </w:t>
        </w:r>
      </w:ins>
      <w:r>
        <w:rPr>
          <w:i/>
          <w:highlight w:val="yellow"/>
          <w:rPrChange w:id="20" w:author="xuefei6" w:date="2019-05-16T14:35:05Z">
            <w:rPr>
              <w:i/>
            </w:rPr>
          </w:rPrChange>
        </w:rPr>
        <w:t>p</w:t>
      </w:r>
      <w:r>
        <w:rPr>
          <w:highlight w:val="yellow"/>
          <w:rPrChange w:id="21" w:author="xuefei6" w:date="2019-05-16T14:35:05Z">
            <w:rPr/>
          </w:rPrChange>
        </w:rPr>
        <w:t xml:space="preserve"> = </w:t>
      </w:r>
      <w:ins w:id="22" w:author="xuefei6" w:date="2019-05-16T14:34:39Z">
        <w:r>
          <w:rPr>
            <w:rFonts w:hint="eastAsia" w:eastAsia="宋体"/>
            <w:highlight w:val="yellow"/>
            <w:lang w:val="en-US" w:eastAsia="zh-CN"/>
            <w:rPrChange w:id="23" w:author="xuefei6" w:date="2019-05-16T14:35:05Z">
              <w:rPr>
                <w:rFonts w:hint="eastAsia" w:eastAsia="宋体"/>
                <w:lang w:val="en-US" w:eastAsia="zh-CN"/>
              </w:rPr>
            </w:rPrChange>
          </w:rPr>
          <w:t>1</w:t>
        </w:r>
      </w:ins>
      <w:ins w:id="24" w:author="xuefei6" w:date="2019-05-16T14:34:40Z">
        <w:r>
          <w:rPr>
            <w:rFonts w:hint="eastAsia" w:eastAsia="宋体"/>
            <w:highlight w:val="yellow"/>
            <w:lang w:val="en-US" w:eastAsia="zh-CN"/>
            <w:rPrChange w:id="25" w:author="xuefei6" w:date="2019-05-16T14:35:05Z">
              <w:rPr>
                <w:rFonts w:hint="eastAsia" w:eastAsia="宋体"/>
                <w:lang w:val="en-US" w:eastAsia="zh-CN"/>
              </w:rPr>
            </w:rPrChange>
          </w:rPr>
          <w:t>00</w:t>
        </w:r>
      </w:ins>
      <w:r>
        <w:rPr>
          <w:highlight w:val="yellow"/>
          <w:rPrChange w:id="26" w:author="xuefei6" w:date="2019-05-16T14:35:05Z">
            <w:rPr/>
          </w:rPrChange>
        </w:rPr>
        <w:t xml:space="preserve">0 and </w:t>
      </w:r>
      <w:ins w:id="27" w:author="xuefei6" w:date="2019-05-16T14:34:43Z">
        <w:r>
          <w:rPr>
            <w:rFonts w:hint="eastAsia" w:eastAsia="宋体"/>
            <w:highlight w:val="yellow"/>
            <w:lang w:val="en-US" w:eastAsia="zh-CN"/>
            <w:rPrChange w:id="28" w:author="xuefei6" w:date="2019-05-16T14:35:05Z">
              <w:rPr>
                <w:rFonts w:hint="eastAsia" w:eastAsia="宋体"/>
                <w:lang w:val="en-US" w:eastAsia="zh-CN"/>
              </w:rPr>
            </w:rPrChange>
          </w:rPr>
          <w:t>1</w:t>
        </w:r>
      </w:ins>
      <w:ins w:id="29" w:author="xuefei6" w:date="2019-05-16T14:34:44Z">
        <w:r>
          <w:rPr>
            <w:rFonts w:hint="eastAsia" w:eastAsia="宋体"/>
            <w:highlight w:val="yellow"/>
            <w:lang w:val="en-US" w:eastAsia="zh-CN"/>
            <w:rPrChange w:id="30" w:author="xuefei6" w:date="2019-05-16T14:35:05Z">
              <w:rPr>
                <w:rFonts w:hint="eastAsia" w:eastAsia="宋体"/>
                <w:lang w:val="en-US" w:eastAsia="zh-CN"/>
              </w:rPr>
            </w:rPrChange>
          </w:rPr>
          <w:t>00</w:t>
        </w:r>
      </w:ins>
      <w:r>
        <w:rPr>
          <w:highlight w:val="yellow"/>
          <w:rPrChange w:id="31" w:author="xuefei6" w:date="2019-05-16T14:35:05Z">
            <w:rPr/>
          </w:rPrChange>
        </w:rPr>
        <w:t>1</w:t>
      </w:r>
      <w:ins w:id="32" w:author="xuefei6" w:date="2019-05-16T14:34:45Z">
        <w:r>
          <w:rPr>
            <w:rFonts w:hint="eastAsia" w:eastAsia="宋体"/>
            <w:highlight w:val="yellow"/>
            <w:lang w:val="en-US" w:eastAsia="zh-CN"/>
            <w:rPrChange w:id="33" w:author="xuefei6" w:date="2019-05-16T14:35:05Z">
              <w:rPr>
                <w:rFonts w:hint="eastAsia" w:eastAsia="宋体"/>
                <w:lang w:val="en-US" w:eastAsia="zh-CN"/>
              </w:rPr>
            </w:rPrChange>
          </w:rPr>
          <w:t xml:space="preserve"> wi</w:t>
        </w:r>
      </w:ins>
      <w:ins w:id="34" w:author="xuefei6" w:date="2019-05-16T14:34:46Z">
        <w:r>
          <w:rPr>
            <w:rFonts w:hint="eastAsia" w:eastAsia="宋体"/>
            <w:highlight w:val="yellow"/>
            <w:lang w:val="en-US" w:eastAsia="zh-CN"/>
            <w:rPrChange w:id="35" w:author="xuefei6" w:date="2019-05-16T14:35:05Z">
              <w:rPr>
                <w:rFonts w:hint="eastAsia" w:eastAsia="宋体"/>
                <w:lang w:val="en-US" w:eastAsia="zh-CN"/>
              </w:rPr>
            </w:rPrChange>
          </w:rPr>
          <w:t>th C</w:t>
        </w:r>
      </w:ins>
      <w:ins w:id="36" w:author="xuefei6" w:date="2019-05-16T14:34:47Z">
        <w:r>
          <w:rPr>
            <w:rFonts w:hint="eastAsia" w:eastAsia="宋体"/>
            <w:highlight w:val="yellow"/>
            <w:lang w:val="en-US" w:eastAsia="zh-CN"/>
            <w:rPrChange w:id="37" w:author="xuefei6" w:date="2019-05-16T14:35:05Z">
              <w:rPr>
                <w:rFonts w:hint="eastAsia" w:eastAsia="宋体"/>
                <w:lang w:val="en-US" w:eastAsia="zh-CN"/>
              </w:rPr>
            </w:rPrChange>
          </w:rPr>
          <w:t>DM</w:t>
        </w:r>
      </w:ins>
      <w:r>
        <w:t>)</w:t>
      </w:r>
      <w:r>
        <w:rPr>
          <w:lang w:eastAsia="zh-CN"/>
        </w:rPr>
        <w:t>.</w:t>
      </w:r>
    </w:p>
    <w:p>
      <w:pPr>
        <w:pStyle w:val="80"/>
      </w:pPr>
      <w:r>
        <w:tab/>
      </w:r>
      <w:r>
        <w:t xml:space="preserve">For an  BS declared to be capable of single carrier operation only, set the </w:t>
      </w:r>
      <w:del w:id="38" w:author="R4-1903326" w:date="2019-04-17T12:20:00Z">
        <w:r>
          <w:rPr/>
          <w:delText xml:space="preserve"> </w:delText>
        </w:r>
      </w:del>
      <w:r>
        <w:t>BS to transmit according to the applicable test configuration in subclause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 xml:space="preserve"> at</w:t>
      </w:r>
      <w:r>
        <w:t xml:space="preserve"> manufacturer's declared rated output power, P</w:t>
      </w:r>
      <w:r>
        <w:rPr>
          <w:vertAlign w:val="subscript"/>
        </w:rPr>
        <w:t>Rated,c,TRP</w:t>
      </w:r>
      <w:r>
        <w:t>.</w:t>
      </w:r>
    </w:p>
    <w:p>
      <w:pPr>
        <w:pStyle w:val="80"/>
      </w:pPr>
      <w:r>
        <w:tab/>
      </w:r>
      <w:r>
        <w:t>If the</w:t>
      </w:r>
      <w:del w:id="39" w:author="R4-1903326" w:date="2019-04-17T12:20:00Z">
        <w:r>
          <w:rPr/>
          <w:delText xml:space="preserve"> </w:delText>
        </w:r>
      </w:del>
      <w:r>
        <w:t xml:space="preserve"> BS supports intra band contiguous or non-contiguous Carrier Aggregation set the </w:t>
      </w:r>
      <w:del w:id="40" w:author="R4-1903326" w:date="2019-04-17T12:20:00Z">
        <w:r>
          <w:rPr/>
          <w:delText xml:space="preserve"> </w:delText>
        </w:r>
      </w:del>
      <w:r>
        <w:t xml:space="preserve">BS to transmit </w:t>
      </w:r>
      <w:r>
        <w:rPr>
          <w:lang w:eastAsia="zh-CN"/>
        </w:rPr>
        <w:t>using the applicable test configuration and corresponding power setting specified</w:t>
      </w:r>
      <w:r>
        <w:t xml:space="preserve"> in subclauses 4.7</w:t>
      </w:r>
      <w:r>
        <w:rPr>
          <w:rFonts w:hint="eastAsia" w:eastAsia="宋体"/>
          <w:lang w:val="en-US" w:eastAsia="zh-CN"/>
        </w:rPr>
        <w:t>.2 and 4.8</w:t>
      </w:r>
      <w:r>
        <w:t>.</w:t>
      </w:r>
    </w:p>
    <w:p>
      <w:pPr>
        <w:pStyle w:val="80"/>
      </w:pPr>
      <w:r>
        <w:tab/>
      </w:r>
      <w:r>
        <w:t xml:space="preserve">If the </w:t>
      </w:r>
      <w:del w:id="41" w:author="R4-1903326" w:date="2019-04-17T12:20:00Z">
        <w:r>
          <w:rPr/>
          <w:delText xml:space="preserve"> </w:delText>
        </w:r>
      </w:del>
      <w:r>
        <w:t xml:space="preserve">BS supports inter band carrier aggregation set the </w:t>
      </w:r>
      <w:del w:id="42" w:author="R4-1903326" w:date="2019-04-17T12:20:00Z">
        <w:r>
          <w:rPr/>
          <w:delText xml:space="preserve">BR </w:delText>
        </w:r>
      </w:del>
      <w:r>
        <w:t xml:space="preserve">BS to transmit, for each band, a single carrier or all carriers, </w:t>
      </w:r>
      <w:r>
        <w:rPr>
          <w:lang w:eastAsia="zh-CN"/>
        </w:rPr>
        <w:t>using the applicable test configuration and corresponding power setting specified</w:t>
      </w:r>
      <w:r>
        <w:t xml:space="preserve"> in subclauses 4.7</w:t>
      </w:r>
      <w:r>
        <w:rPr>
          <w:rFonts w:hint="eastAsia" w:eastAsia="宋体"/>
          <w:lang w:val="en-US" w:eastAsia="zh-CN"/>
        </w:rPr>
        <w:t>.2 and 4.8</w:t>
      </w:r>
      <w:r>
        <w:t>.</w:t>
      </w:r>
    </w:p>
    <w:p>
      <w:pPr>
        <w:pStyle w:val="80"/>
        <w:ind w:firstLine="0"/>
      </w:pPr>
      <w:r>
        <w:rPr>
          <w:rFonts w:hint="eastAsia"/>
          <w:lang w:val="en-US" w:eastAsia="zh-CN"/>
        </w:rPr>
        <w:t>F</w:t>
      </w:r>
      <w:r>
        <w:t xml:space="preserve">or </w:t>
      </w:r>
      <w:r>
        <w:rPr>
          <w:rFonts w:cs="v4.2.0"/>
          <w:i/>
          <w:iCs/>
          <w:lang w:val="en-US" w:eastAsia="zh-CN"/>
        </w:rPr>
        <w:t xml:space="preserve">BS type </w:t>
      </w:r>
      <w:r>
        <w:rPr>
          <w:rFonts w:hint="eastAsia" w:cs="v4.2.0"/>
          <w:i/>
          <w:iCs/>
          <w:lang w:val="en-US" w:eastAsia="zh-CN"/>
        </w:rPr>
        <w:t>1</w:t>
      </w:r>
      <w:r>
        <w:rPr>
          <w:rFonts w:cs="v4.2.0"/>
          <w:i/>
          <w:iCs/>
          <w:lang w:val="en-US" w:eastAsia="zh-CN"/>
        </w:rPr>
        <w:t>-O</w:t>
      </w:r>
      <w:r>
        <w:rPr>
          <w:lang w:val="en-US"/>
        </w:rPr>
        <w:t xml:space="preserve"> </w:t>
      </w:r>
      <w:r>
        <w:t>declared to be capable of multi-carrier operation</w:t>
      </w:r>
      <w:r>
        <w:rPr>
          <w:rFonts w:hint="eastAsia"/>
          <w:lang w:val="en-US" w:eastAsia="zh-CN"/>
        </w:rPr>
        <w:t>,</w:t>
      </w:r>
      <w:r>
        <w:t xml:space="preserve"> </w:t>
      </w:r>
      <w:r>
        <w:rPr>
          <w:rFonts w:hint="eastAsia" w:cs="v4.2.0"/>
          <w:lang w:eastAsia="zh-CN"/>
        </w:rPr>
        <w:t xml:space="preserve">set the </w:t>
      </w:r>
      <w:r>
        <w:rPr>
          <w:rFonts w:cs="v4.2.0"/>
          <w:lang w:val="en-US" w:eastAsia="zh-CN"/>
        </w:rPr>
        <w:t xml:space="preserve">BS </w:t>
      </w:r>
      <w:r>
        <w:rPr>
          <w:rFonts w:hint="eastAsia" w:cs="v4.2.0"/>
          <w:lang w:eastAsia="zh-CN"/>
        </w:rPr>
        <w:t>to transmit according to</w:t>
      </w:r>
      <w:r>
        <w:rPr>
          <w:lang w:eastAsia="zh-CN"/>
        </w:rPr>
        <w:t xml:space="preserve"> </w:t>
      </w:r>
      <w:del w:id="43" w:author="R4-1903326" w:date="2019-04-17T12:21:00Z">
        <w:r>
          <w:rPr/>
          <w:delText xml:space="preserve"> </w:delText>
        </w:r>
      </w:del>
      <w:r>
        <w:t>the applicable test signal configuration and corresponding power setting specified in subclause</w:t>
      </w:r>
      <w:r>
        <w:rPr>
          <w:rFonts w:hint="eastAsia" w:eastAsia="宋体"/>
          <w:lang w:val="en-US" w:eastAsia="zh-CN"/>
        </w:rPr>
        <w:t>s</w:t>
      </w:r>
      <w:r>
        <w:t xml:space="preserve"> 4.7.2</w:t>
      </w:r>
      <w:r>
        <w:rPr>
          <w:rFonts w:hint="eastAsia"/>
          <w:lang w:val="en-US" w:eastAsia="zh-CN"/>
        </w:rPr>
        <w:t xml:space="preserve"> and 4.8 using </w:t>
      </w:r>
      <w:r>
        <w:t>the corresponding test model</w:t>
      </w:r>
      <w:r>
        <w:rPr>
          <w:rFonts w:hint="eastAsia"/>
          <w:lang w:val="en-US" w:eastAsia="zh-CN"/>
        </w:rPr>
        <w:t xml:space="preserve"> </w:t>
      </w:r>
      <w:r>
        <w:rPr>
          <w:snapToGrid w:val="0"/>
        </w:rPr>
        <w:t>on all carriers configured</w:t>
      </w:r>
      <w:r>
        <w:t>.</w:t>
      </w:r>
    </w:p>
    <w:p>
      <w:pPr>
        <w:pStyle w:val="80"/>
        <w:ind w:firstLine="0"/>
      </w:pPr>
      <w:r>
        <w:rPr>
          <w:rFonts w:hint="eastAsia" w:cs="v4.2.0"/>
          <w:lang w:eastAsia="zh-CN"/>
        </w:rPr>
        <w:t xml:space="preserve">For </w:t>
      </w:r>
      <w:r>
        <w:rPr>
          <w:rFonts w:cs="v4.2.0"/>
          <w:i/>
          <w:iCs/>
          <w:lang w:val="en-US" w:eastAsia="zh-CN"/>
        </w:rPr>
        <w:t xml:space="preserve">BS type </w:t>
      </w:r>
      <w:r>
        <w:rPr>
          <w:rFonts w:hint="eastAsia" w:cs="v4.2.0"/>
          <w:i/>
          <w:iCs/>
          <w:lang w:val="en-US" w:eastAsia="zh-CN"/>
        </w:rPr>
        <w:t>2</w:t>
      </w:r>
      <w:r>
        <w:rPr>
          <w:rFonts w:cs="v4.2.0"/>
          <w:i/>
          <w:iCs/>
          <w:lang w:val="en-US" w:eastAsia="zh-CN"/>
        </w:rPr>
        <w:t>-O</w:t>
      </w:r>
      <w:r>
        <w:rPr>
          <w:rFonts w:cs="v4.2.0"/>
          <w:lang w:eastAsia="zh-CN"/>
        </w:rPr>
        <w:t xml:space="preserve"> </w:t>
      </w:r>
      <w:r>
        <w:rPr>
          <w:rFonts w:hint="eastAsia" w:cs="v4.2.0"/>
          <w:lang w:eastAsia="zh-CN"/>
        </w:rPr>
        <w:t xml:space="preserve">declared to be capable of multi-carrier operation, set the </w:t>
      </w:r>
      <w:r>
        <w:rPr>
          <w:rFonts w:cs="v4.2.0"/>
          <w:lang w:val="en-US" w:eastAsia="zh-CN"/>
        </w:rPr>
        <w:t xml:space="preserve">BS </w:t>
      </w:r>
      <w:r>
        <w:rPr>
          <w:rFonts w:hint="eastAsia" w:cs="v4.2.0"/>
          <w:lang w:eastAsia="zh-CN"/>
        </w:rPr>
        <w:t>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hint="eastAsia" w:eastAsia="宋体"/>
          <w:lang w:val="en-US" w:eastAsia="zh-CN"/>
        </w:rPr>
        <w:t>s</w:t>
      </w:r>
      <w:r>
        <w:t xml:space="preserve"> 4.</w:t>
      </w:r>
      <w:r>
        <w:rPr>
          <w:rFonts w:hint="eastAsia"/>
          <w:lang w:val="en-US" w:eastAsia="zh-CN"/>
        </w:rPr>
        <w:t xml:space="preserve">7.2 and 4.8 using </w:t>
      </w:r>
      <w:r>
        <w:t>the corresponding test model</w:t>
      </w:r>
      <w:r>
        <w:rPr>
          <w:rFonts w:hint="eastAsia"/>
          <w:lang w:val="en-US" w:eastAsia="zh-CN"/>
        </w:rPr>
        <w:t xml:space="preserve"> </w:t>
      </w:r>
      <w:r>
        <w:rPr>
          <w:snapToGrid w:val="0"/>
        </w:rPr>
        <w:t>on all carriers configured</w:t>
      </w:r>
      <w:r>
        <w:rPr>
          <w:rFonts w:cs="v4.2.0"/>
          <w:lang w:eastAsia="zh-CN"/>
        </w:rPr>
        <w:t>.</w:t>
      </w:r>
    </w:p>
    <w:p>
      <w:pPr>
        <w:pStyle w:val="80"/>
      </w:pPr>
      <w:r>
        <w:t>6)</w:t>
      </w:r>
      <w:r>
        <w:tab/>
      </w:r>
      <w:r>
        <w:t>Measure the time alignment error between the different reference symbols on different beams on the carrier(s).</w:t>
      </w:r>
    </w:p>
    <w:p>
      <w:r>
        <w:t xml:space="preserve">In addition, for </w:t>
      </w:r>
      <w:r>
        <w:rPr>
          <w:snapToGrid w:val="0"/>
        </w:rPr>
        <w:t>a multi-band RIB</w:t>
      </w:r>
      <w:r>
        <w:t>, the following steps shall apply:</w:t>
      </w:r>
    </w:p>
    <w:p>
      <w:pPr>
        <w:pStyle w:val="80"/>
      </w:pPr>
      <w:r>
        <w:t>7)</w:t>
      </w:r>
      <w:r>
        <w:tab/>
      </w:r>
      <w:r>
        <w:t xml:space="preserve">For </w:t>
      </w:r>
      <w:r>
        <w:rPr>
          <w:snapToGrid w:val="0"/>
        </w:rPr>
        <w:t>a 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11" w:name="_Toc5283535"/>
      <w:r>
        <w:rPr>
          <w:lang w:eastAsia="sv-SE"/>
        </w:rPr>
        <w:t>6.</w:t>
      </w:r>
      <w:r>
        <w:rPr>
          <w:lang w:eastAsia="zh-CN"/>
        </w:rPr>
        <w:t>6.4.</w:t>
      </w:r>
      <w:r>
        <w:rPr>
          <w:lang w:eastAsia="sv-SE"/>
        </w:rPr>
        <w:t>5</w:t>
      </w:r>
      <w:r>
        <w:rPr>
          <w:lang w:eastAsia="sv-SE"/>
        </w:rPr>
        <w:tab/>
      </w:r>
      <w:r>
        <w:rPr>
          <w:lang w:eastAsia="sv-SE"/>
        </w:rPr>
        <w:t>Test Requirement</w:t>
      </w:r>
      <w:bookmarkEnd w:id="11"/>
    </w:p>
    <w:p>
      <w:pPr>
        <w:pStyle w:val="6"/>
      </w:pPr>
      <w:bookmarkStart w:id="12" w:name="_Toc5283536"/>
      <w:r>
        <w:t>6.6.4.5.1</w:t>
      </w:r>
      <w:r>
        <w:tab/>
      </w:r>
      <w:r>
        <w:rPr>
          <w:i/>
        </w:rPr>
        <w:t>BS type 1-O</w:t>
      </w:r>
      <w:bookmarkEnd w:id="12"/>
    </w:p>
    <w:p>
      <w:r>
        <w:t xml:space="preserve">For MIMO </w:t>
      </w:r>
      <w:del w:id="44" w:author="R4-1905125" w:date="2019-04-17T22:11:00Z">
        <w:r>
          <w:rPr/>
          <w:delText xml:space="preserve">or TX diversity </w:delText>
        </w:r>
      </w:del>
      <w:r>
        <w:t>transmission</w:t>
      </w:r>
      <w:del w:id="45" w:author="R4-1905125" w:date="2019-04-17T22:11:00Z">
        <w:r>
          <w:rPr/>
          <w:delText>s</w:delText>
        </w:r>
      </w:del>
      <w:r>
        <w:t>, at each carrier frequency, OTA TAE shall not exceed 90 ns.</w:t>
      </w:r>
    </w:p>
    <w:p>
      <w:r>
        <w:t>For intra-band contiguous carrier aggregation, with or without MIMO</w:t>
      </w:r>
      <w:del w:id="46" w:author="R4-1905125" w:date="2019-04-17T22:11:00Z">
        <w:r>
          <w:rPr/>
          <w:delText xml:space="preserve"> or TX diversity</w:delText>
        </w:r>
      </w:del>
      <w:r>
        <w:t xml:space="preserve">, OTA TAE shall not exceed 285 </w:t>
      </w:r>
      <w:r>
        <w:rPr>
          <w:rFonts w:hint="eastAsia"/>
          <w:lang w:eastAsia="zh-CN"/>
        </w:rPr>
        <w:t>ns</w:t>
      </w:r>
      <w:r>
        <w:t>.</w:t>
      </w:r>
    </w:p>
    <w:p>
      <w:r>
        <w:t>For intra-band non-contiguous carrier aggregation, with or without MIMO</w:t>
      </w:r>
      <w:del w:id="47" w:author="R4-1905125" w:date="2019-04-17T22:11:00Z">
        <w:r>
          <w:rPr/>
          <w:delText xml:space="preserve"> or TX diversity</w:delText>
        </w:r>
      </w:del>
      <w:r>
        <w:t xml:space="preserve">, OTA TAE shall not exceed </w:t>
      </w:r>
      <w:r>
        <w:rPr>
          <w:lang w:eastAsia="zh-CN"/>
        </w:rPr>
        <w:t xml:space="preserve">3.025 </w:t>
      </w:r>
      <w:r>
        <w:t>µs.</w:t>
      </w:r>
    </w:p>
    <w:p>
      <w:r>
        <w:t>For inter-band carrier aggregation, with or without MIMO</w:t>
      </w:r>
      <w:del w:id="48" w:author="R4-1905125" w:date="2019-04-17T22:11:00Z">
        <w:r>
          <w:rPr/>
          <w:delText xml:space="preserve"> or TX diversity</w:delText>
        </w:r>
      </w:del>
      <w:r>
        <w:t xml:space="preserve">, OTA TAE shall not exceed </w:t>
      </w:r>
      <w:r>
        <w:rPr>
          <w:lang w:eastAsia="zh-CN"/>
        </w:rPr>
        <w:t xml:space="preserve">3.025 </w:t>
      </w:r>
      <w:r>
        <w:t>µs.</w:t>
      </w:r>
    </w:p>
    <w:p>
      <w:pPr>
        <w:pStyle w:val="6"/>
      </w:pPr>
      <w:bookmarkStart w:id="13" w:name="_Toc5283537"/>
      <w:r>
        <w:t>6.6.4.5.2</w:t>
      </w:r>
      <w:r>
        <w:tab/>
      </w:r>
      <w:r>
        <w:rPr>
          <w:i/>
        </w:rPr>
        <w:t>BS type 2-O</w:t>
      </w:r>
      <w:bookmarkEnd w:id="13"/>
    </w:p>
    <w:p>
      <w:r>
        <w:t xml:space="preserve">For MIMO </w:t>
      </w:r>
      <w:del w:id="49" w:author="R4-1905125" w:date="2019-04-17T22:12:00Z">
        <w:r>
          <w:rPr/>
          <w:delText xml:space="preserve">or TX diversity </w:delText>
        </w:r>
      </w:del>
      <w:r>
        <w:t>transmission</w:t>
      </w:r>
      <w:del w:id="50" w:author="R4-1905125" w:date="2019-04-17T22:12:00Z">
        <w:r>
          <w:rPr/>
          <w:delText>s</w:delText>
        </w:r>
      </w:del>
      <w:r>
        <w:t>, at each carrier frequency, OTA TAE shall not exceed 90 ns.</w:t>
      </w:r>
    </w:p>
    <w:p>
      <w:r>
        <w:t>For intra-band contiguous carrier aggregation, with or without MIMO</w:t>
      </w:r>
      <w:del w:id="51" w:author="R4-1905125" w:date="2019-04-17T22:12:00Z">
        <w:r>
          <w:rPr/>
          <w:delText xml:space="preserve"> or TX diversity</w:delText>
        </w:r>
      </w:del>
      <w:r>
        <w:t xml:space="preserve">, OTA TAE shall not exceed 155 </w:t>
      </w:r>
      <w:r>
        <w:rPr>
          <w:rFonts w:hint="eastAsia"/>
          <w:lang w:eastAsia="zh-CN"/>
        </w:rPr>
        <w:t>ns</w:t>
      </w:r>
      <w:r>
        <w:t>.</w:t>
      </w:r>
    </w:p>
    <w:p>
      <w:r>
        <w:t>For intra-band non-contiguous carrier aggregation, with or without MIMO</w:t>
      </w:r>
      <w:del w:id="52" w:author="R4-1905125" w:date="2019-04-17T22:12:00Z">
        <w:r>
          <w:rPr/>
          <w:delText xml:space="preserve"> or TX diversity</w:delText>
        </w:r>
      </w:del>
      <w:r>
        <w:t>, OTA TAE shall not exceed 3.025 µs.</w:t>
      </w:r>
    </w:p>
    <w:p>
      <w:r>
        <w:t>For inter-band carrier aggregation, with or without MIMO</w:t>
      </w:r>
      <w:del w:id="53" w:author="R4-1905125" w:date="2019-04-17T22:12:00Z">
        <w:r>
          <w:rPr/>
          <w:delText xml:space="preserve"> or TX diversity</w:delText>
        </w:r>
      </w:del>
      <w:r>
        <w:t>, OTA TAE shall not exceed 3.025 µs.</w:t>
      </w:r>
    </w:p>
    <w:p>
      <w:bookmarkStart w:id="14" w:name="_Toc5283873"/>
    </w:p>
    <w:bookmarkEnd w:id="3"/>
    <w:bookmarkEnd w:id="14"/>
    <w:p>
      <w:r>
        <w:rPr>
          <w:color w:val="00B0F0"/>
        </w:rPr>
        <w:t xml:space="preserve">******************************* </w:t>
      </w:r>
      <w:r>
        <w:rPr>
          <w:rFonts w:hint="eastAsia" w:eastAsia="宋体"/>
          <w:color w:val="00B0F0"/>
          <w:lang w:val="en-US" w:eastAsia="zh-CN"/>
        </w:rPr>
        <w:t xml:space="preserve">END OF </w:t>
      </w:r>
      <w:r>
        <w:rPr>
          <w:color w:val="00B0F0"/>
        </w:rPr>
        <w:t>CHANGE 1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DengXian">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42"/>
      <w:rPr>
        <w:rFonts w:hint="eastAsia" w:eastAsia="宋体"/>
        <w:lang w:val="en-US" w:eastAsia="zh-CN"/>
      </w:rPr>
    </w:pPr>
    <w:r>
      <w:rPr>
        <w:rFonts w:hint="eastAsia" w:eastAsia="宋体"/>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4-1905125">
    <w15:presenceInfo w15:providerId="None" w15:userId="R4-1905125"/>
  </w15:person>
  <w15:person w15:author="R4-1903326">
    <w15:presenceInfo w15:providerId="None" w15:userId="R4-1903326"/>
  </w15:person>
  <w15:person w15:author="xuefei6">
    <w15:presenceInfo w15:providerId="None" w15:userId="xuef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779"/>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034B"/>
    <w:rsid w:val="003670B8"/>
    <w:rsid w:val="00370AC6"/>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382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6EE4"/>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D5C9B"/>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B3422"/>
    <w:rsid w:val="00CC01F5"/>
    <w:rsid w:val="00CC4389"/>
    <w:rsid w:val="00CC4612"/>
    <w:rsid w:val="00CD0F4F"/>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5482"/>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6C87"/>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845F0"/>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06183"/>
    <w:rsid w:val="00F10342"/>
    <w:rsid w:val="00F13485"/>
    <w:rsid w:val="00F14C5C"/>
    <w:rsid w:val="00F178BA"/>
    <w:rsid w:val="00F22E36"/>
    <w:rsid w:val="00F22EC7"/>
    <w:rsid w:val="00F23D58"/>
    <w:rsid w:val="00F26152"/>
    <w:rsid w:val="00F26732"/>
    <w:rsid w:val="00F27BC9"/>
    <w:rsid w:val="00F32CF9"/>
    <w:rsid w:val="00F35D2B"/>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96B93"/>
    <w:rsid w:val="00FA0107"/>
    <w:rsid w:val="00FA0489"/>
    <w:rsid w:val="00FA1266"/>
    <w:rsid w:val="00FA391B"/>
    <w:rsid w:val="00FA7E08"/>
    <w:rsid w:val="00FC1192"/>
    <w:rsid w:val="00FC678C"/>
    <w:rsid w:val="00FD19B4"/>
    <w:rsid w:val="00FE094E"/>
    <w:rsid w:val="00FE4987"/>
    <w:rsid w:val="00FF132B"/>
    <w:rsid w:val="00FF29E4"/>
    <w:rsid w:val="00FF4238"/>
    <w:rsid w:val="00FF5C0C"/>
    <w:rsid w:val="00FF63C2"/>
    <w:rsid w:val="00FF7123"/>
    <w:rsid w:val="00FF789F"/>
    <w:rsid w:val="04CA6CE6"/>
    <w:rsid w:val="0C3356FD"/>
    <w:rsid w:val="1A8E296B"/>
    <w:rsid w:val="1C91689D"/>
    <w:rsid w:val="217A1C54"/>
    <w:rsid w:val="27F87F79"/>
    <w:rsid w:val="2BDC61C6"/>
    <w:rsid w:val="2F204FE9"/>
    <w:rsid w:val="37A475F0"/>
    <w:rsid w:val="3FF05089"/>
    <w:rsid w:val="4BC43017"/>
    <w:rsid w:val="55BD78F1"/>
    <w:rsid w:val="60C70089"/>
    <w:rsid w:val="64312420"/>
    <w:rsid w:val="64C37441"/>
    <w:rsid w:val="66626D3B"/>
    <w:rsid w:val="67215106"/>
    <w:rsid w:val="6A284311"/>
    <w:rsid w:val="6AE123C3"/>
    <w:rsid w:val="6BD7673D"/>
    <w:rsid w:val="75B001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3"/>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uiPriority w:val="39"/>
    <w:pPr>
      <w:tabs>
        <w:tab w:val="right" w:leader="dot" w:pos="9639"/>
      </w:tabs>
      <w:ind w:left="1701" w:hanging="1701"/>
    </w:pPr>
  </w:style>
  <w:style w:type="paragraph" w:styleId="20">
    <w:name w:val="toc 4"/>
    <w:basedOn w:val="21"/>
    <w:next w:val="1"/>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uiPriority w:val="0"/>
    <w:pPr>
      <w:ind w:left="568" w:hanging="284"/>
      <w:contextualSpacing w:val="0"/>
    </w:pPr>
  </w:style>
  <w:style w:type="paragraph" w:styleId="26">
    <w:name w:val="Note Heading"/>
    <w:basedOn w:val="1"/>
    <w:next w:val="1"/>
    <w:link w:val="217"/>
    <w:uiPriority w:val="0"/>
    <w:pPr>
      <w:overflowPunct w:val="0"/>
      <w:autoSpaceDE w:val="0"/>
      <w:autoSpaceDN w:val="0"/>
      <w:adjustRightInd w:val="0"/>
      <w:textAlignment w:val="baseline"/>
    </w:pPr>
    <w:rPr>
      <w:rFonts w:eastAsia="MS Mincho"/>
    </w:r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20"/>
    <w:uiPriority w:val="0"/>
    <w:pPr>
      <w:keepLines/>
      <w:tabs>
        <w:tab w:val="center" w:pos="4536"/>
        <w:tab w:val="right" w:pos="9072"/>
      </w:tabs>
    </w:pPr>
  </w:style>
  <w:style w:type="character" w:customStyle="1" w:styleId="65">
    <w:name w:val="ZGSM"/>
    <w:qFormat/>
    <w:uiPriority w:val="0"/>
  </w:style>
  <w:style w:type="paragraph" w:customStyle="1" w:styleId="66">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Revision"/>
    <w:hidden/>
    <w:semiHidden/>
    <w:qFormat/>
    <w:uiPriority w:val="99"/>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1"/>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eastAsia="zh-CN"/>
    </w:r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2"/>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3"/>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4"/>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5"/>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ellengitternetz6"/>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ellengitternetz7"/>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7">
    <w:name w:val="Tabellengitternetz8"/>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8">
    <w:name w:val="Tabellengitternetz9"/>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9">
    <w:name w:val="Table Grid21"/>
    <w:basedOn w:val="62"/>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1">
    <w:name w:val="수정"/>
    <w:hidden/>
    <w:semiHidden/>
    <w:qFormat/>
    <w:uiPriority w:val="0"/>
    <w:rPr>
      <w:rFonts w:ascii="Times New Roman" w:hAnsi="Times New Roman" w:eastAsia="Batang" w:cs="Times New Roman"/>
      <w:lang w:val="en-GB" w:eastAsia="en-US" w:bidi="ar-SA"/>
    </w:rPr>
  </w:style>
  <w:style w:type="paragraph" w:customStyle="1" w:styleId="212">
    <w:name w:val="修订1"/>
    <w:hidden/>
    <w:semiHidden/>
    <w:qFormat/>
    <w:uiPriority w:val="0"/>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2">
    <w:name w:val="Table Grid5"/>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3">
    <w:name w:val="Table Grid6"/>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Intense Emphasis"/>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2">
    <w:name w:val="Table Grid12"/>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le Grid11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le Style11"/>
    <w:basedOn w:val="62"/>
    <w:qFormat/>
    <w:uiPriority w:val="0"/>
    <w:rPr>
      <w:rFonts w:eastAsia="MS Mincho"/>
      <w:lang w:val="en-GB" w:eastAsia="zh-CN"/>
    </w:rPr>
  </w:style>
  <w:style w:type="table" w:customStyle="1" w:styleId="256">
    <w:name w:val="Tabellengitternetz1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2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3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4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5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6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7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8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9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le Grid211"/>
    <w:basedOn w:val="62"/>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4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le Grid5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6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9">
    <w:name w:val="Unresolved Mentio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C69929-2EB3-4576-9491-453D58A86922}">
  <ds:schemaRefs/>
</ds:datastoreItem>
</file>

<file path=docProps/app.xml><?xml version="1.0" encoding="utf-8"?>
<Properties xmlns="http://schemas.openxmlformats.org/officeDocument/2006/extended-properties" xmlns:vt="http://schemas.openxmlformats.org/officeDocument/2006/docPropsVTypes">
  <Template>3gpp_70.dot</Template>
  <Pages>6</Pages>
  <Words>2150</Words>
  <Characters>10754</Characters>
  <Lines>210</Lines>
  <Paragraphs>119</Paragraphs>
  <TotalTime>0</TotalTime>
  <ScaleCrop>false</ScaleCrop>
  <LinksUpToDate>false</LinksUpToDate>
  <CharactersWithSpaces>12785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2019-05-03T15:06:00Z</dcterms:created>
  <dc:creator>MCC Support</dc:creator>
  <cp:lastModifiedBy>xuefei5</cp:lastModifiedBy>
  <dcterms:modified xsi:type="dcterms:W3CDTF">2019-05-16T19:29:47Z</dcterms:modified>
  <dc:subject>NR; Base Station (BS) conformance testing Part 2: Radiated conformance testing (Release 15)</dc:subject>
  <dc:title>3GPP TS 38.141-2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2052-10.8.2.7027</vt:lpwstr>
  </property>
</Properties>
</file>